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584</w:t>
      </w:r>
    </w:p>
    <w:p>
      <w:r>
        <w:t>Bundesgericht (BGE), 2007-09-12, DE</w:t>
      </w:r>
    </w:p>
    <w:p>
      <w:r>
        <w:rPr>
          <w:b/>
        </w:rPr>
        <w:t xml:space="preserve">Quelle: </w:t>
      </w:r>
      <w:r>
        <w:t>https://mcp.opencaselaw.ch/entscheid/bge_133 III 584</w:t>
      </w:r>
    </w:p>
    <w:p>
      <w:r>
        <w:t>FR: ATF 133 III 584</w:t>
      </w:r>
    </w:p>
    <w:p>
      <w:r>
        <w:t>IT: DTF 133 III 584</w:t>
      </w:r>
    </w:p>
    <w:p>
      <w:pPr>
        <w:pStyle w:val="Heading2"/>
      </w:pPr>
      <w:r>
        <w:t>Regeste</w:t>
      </w:r>
    </w:p>
    <w:p>
      <w:r>
        <w:t>Regeste Letztinstanzlicher kantonaler Entscheid über die Rückführung eines Kindes nach dem Haager Übereinkommen vom 25. Oktober 1980 über die zivilrechtlichen Aspekte internationaler Kindesentführung. Zum Rechtsmittel an das Bundesgericht gegen einen solchen Entscheid (E. 1.2).</w:t>
      </w:r>
    </w:p>
    <w:p>
      <w:pPr>
        <w:pStyle w:val="Heading2"/>
      </w:pPr>
      <w:r>
        <w:t>Erwägungen</w:t>
      </w:r>
    </w:p>
    <w:p>
      <w:r>
        <w:rPr>
          <w:b/>
        </w:rPr>
        <w:t>E. 1.2</w:t>
      </w:r>
    </w:p>
    <w:p>
      <w:r>
        <w:t>Entscheide über die Rückführung eines Kindes nach dem Haager Übereinkommen vom 25. Oktober 1980 über die zivilrechtlichen BGE 133 III 584 S. 585 Aspekte internationaler Kindesentführung (HEntfÜ; SR 0.211.230.02) stellen keine Zivilsachen dar. Es geht in einem solchen Verfahren vielmehr um die Regelung der Rechtshilfe zwischen den Vertragsstaaten, mithin um eine Angelegenheit öffentlich-rechtlicher Natur ( BGE 120 II 222 E. 2b S. 224), die in unmittelbarem Zusammenhang mit der Respektierung und Durchsetzung ausländischen Zivilrechts steht (Art. 72 Abs. 2 lit. b Ziff. 1 des Bundesgesetzes vom 17. Juni 2005 über das Bundesgericht [BGG; SR 173.110]; Urteil des Bundesgerichts 5A_285/2007 vom 16. August 2007, E. 2). Angefochten ist ein letztinstanzlicher Entscheid ( Art. 75 Abs. 1 BGG ). Die Beschwerde in Zivilsachen ist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